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77777777"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 xml:space="preserve">que </w:t>
      </w:r>
      <w:proofErr w:type="spellStart"/>
      <w:r w:rsidR="007F6883" w:rsidRPr="109932D6">
        <w:rPr>
          <w:rFonts w:ascii="Calibri" w:hAnsi="Calibri"/>
          <w:sz w:val="22"/>
          <w:szCs w:val="22"/>
        </w:rPr>
        <w:t>esta</w:t>
      </w:r>
      <w:proofErr w:type="spellEnd"/>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77777777"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174E11">
        <w:tc>
          <w:tcPr>
            <w:tcW w:w="8494"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174E11">
        <w:tc>
          <w:tcPr>
            <w:tcW w:w="8494" w:type="dxa"/>
            <w:tcBorders>
              <w:bottom w:val="single" w:sz="4" w:space="0" w:color="auto"/>
            </w:tcBorders>
          </w:tcPr>
          <w:p w14:paraId="23458F01" w14:textId="297B8701" w:rsidR="00AC7919" w:rsidRPr="00240906" w:rsidRDefault="0079704A" w:rsidP="008D1FBD">
            <w:pPr>
              <w:spacing w:before="120" w:after="120"/>
              <w:contextualSpacing/>
              <w:jc w:val="both"/>
              <w:rPr>
                <w:rFonts w:ascii="Calibri" w:hAnsi="Calibri"/>
                <w:sz w:val="22"/>
                <w:szCs w:val="22"/>
                <w:lang w:val="es-ES_tradnl"/>
              </w:rPr>
            </w:pPr>
            <w:r>
              <w:rPr>
                <w:rFonts w:ascii="Calibri" w:hAnsi="Calibri"/>
                <w:sz w:val="22"/>
                <w:szCs w:val="22"/>
                <w:lang w:val="es-ES_tradnl"/>
              </w:rPr>
              <w:t>Estrategia inteligente para la detección del desgaste de herramienta basado en imágenes</w:t>
            </w:r>
          </w:p>
        </w:tc>
      </w:tr>
      <w:tr w:rsidR="00665011" w:rsidRPr="00665011" w14:paraId="67F86CEC" w14:textId="77777777" w:rsidTr="00174E11">
        <w:tc>
          <w:tcPr>
            <w:tcW w:w="8494"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174E11">
        <w:tc>
          <w:tcPr>
            <w:tcW w:w="8494" w:type="dxa"/>
            <w:tcBorders>
              <w:bottom w:val="single" w:sz="4" w:space="0" w:color="auto"/>
            </w:tcBorders>
          </w:tcPr>
          <w:p w14:paraId="40778C26" w14:textId="636D8B17" w:rsidR="00665011" w:rsidRPr="007105D6" w:rsidRDefault="0079704A" w:rsidP="008D1FBD">
            <w:pPr>
              <w:spacing w:before="120" w:after="120"/>
              <w:contextualSpacing/>
              <w:jc w:val="both"/>
              <w:rPr>
                <w:rFonts w:ascii="Calibri" w:hAnsi="Calibri"/>
                <w:noProof/>
                <w:sz w:val="22"/>
                <w:szCs w:val="22"/>
                <w:lang w:val="es-ES_tradnl"/>
              </w:rPr>
            </w:pPr>
            <w:r w:rsidRPr="0079704A">
              <w:rPr>
                <w:rFonts w:ascii="Calibri" w:hAnsi="Calibri"/>
                <w:noProof/>
                <w:sz w:val="22"/>
                <w:szCs w:val="22"/>
              </w:rPr>
              <w:t>Métodos numéricos aplicados a la ingeniería y la inteligencia artificial.</w:t>
            </w:r>
          </w:p>
        </w:tc>
      </w:tr>
      <w:tr w:rsidR="00AC7919" w:rsidRPr="00240906" w14:paraId="4ABD17FA" w14:textId="77777777" w:rsidTr="00174E11">
        <w:tc>
          <w:tcPr>
            <w:tcW w:w="8494"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174E11">
        <w:tc>
          <w:tcPr>
            <w:tcW w:w="8494" w:type="dxa"/>
            <w:tcBorders>
              <w:bottom w:val="single" w:sz="4" w:space="0" w:color="auto"/>
            </w:tcBorders>
          </w:tcPr>
          <w:p w14:paraId="6EC3AFD2"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Justificación del trabajo</w:t>
            </w:r>
          </w:p>
          <w:p w14:paraId="643D099E"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En la industria de fabricación, el estado de las herramientas de corte influye directamente en la calidad del producto final, la productividad y los costes de producción. El desgaste progresivo de estas herramientas puede derivar en defectos dimensionales, fallos en superficie o incluso daños en maquinaria. Tradicionalmente, la evaluación del desgaste se realiza mediante inspección manual o mediciones fuera de línea, lo que implica interrupciones del proceso productivo, subjetividad en la evaluación y una baja capacidad de respuesta ante fallos inminentes.</w:t>
            </w:r>
          </w:p>
          <w:p w14:paraId="14A6D5D5"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Con el avance de la digitalización industrial y el paradigma de la Industria 4.0, surge la necesidad de sistemas inteligentes capaces de monitorizar el estado de las herramientas en tiempo real. En este contexto, el uso de imágenes microscópicas bidimensionales representa una fuente rica de información sobre los mecanismos de desgaste, tales como abrasión, adhesión o fractura. Sin embargo, la interpretación manual de estas imágenes resulta inviable a gran escala.</w:t>
            </w:r>
          </w:p>
          <w:p w14:paraId="5F660147"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Por tanto, se justifica el desarrollo de modelos inteligentes que integren técnicas de procesamiento de imagen y aprendizaje automático para identificar patrones de desgaste de forma automática y precisa. Este enfoque permitiría implementar sistemas de mantenimiento predictivo, mejorando la toma de decisiones en planta y reduciendo tiempos de parada no planificada, lo que contribuye a una mayor competitividad industrial.</w:t>
            </w:r>
          </w:p>
          <w:p w14:paraId="674BE3C5" w14:textId="70324829"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Objetivo</w:t>
            </w:r>
          </w:p>
          <w:p w14:paraId="473946BB"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Desarrollar una estrategia inteligente capaz de predecir el desgaste de herramientas de corte mediante el análisis de imágenes bidimensionales obtenidas con microscopía, con aplicación directa en entornos de fabricación industrial.</w:t>
            </w:r>
          </w:p>
          <w:p w14:paraId="7B5B4980"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Objetivos específicos:</w:t>
            </w:r>
          </w:p>
          <w:p w14:paraId="781F9DF8"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Diseñar un sistema de adquisición de imágenes que capture de forma consistente y repetible el estado superficial de las herramientas de corte.</w:t>
            </w:r>
          </w:p>
          <w:p w14:paraId="6FFC37A4"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lastRenderedPageBreak/>
              <w:t>Implementar técnicas de procesamiento de imagen para la extracción de características relevantes asociadas al desgaste (textura, morfología, bordes).</w:t>
            </w:r>
          </w:p>
          <w:p w14:paraId="39EF74DB"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Desarrollar modelos de aprendizaje automático o aprendizaje profundo que permitan clasificar y predecir el grado de desgaste a partir de las imágenes.</w:t>
            </w:r>
          </w:p>
          <w:p w14:paraId="3262CD27"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Validar el modelo propuesto mediante conjuntos de datos experimentales, comparando sus resultados con métodos tradicionales de medición.</w:t>
            </w:r>
          </w:p>
          <w:p w14:paraId="1365119C"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Evaluar la viabilidad de integración del sistema en línea dentro de procesos industriales, considerando requisitos de tiempo de respuesta y robustez.</w:t>
            </w:r>
          </w:p>
          <w:p w14:paraId="2761493E"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Metodología</w:t>
            </w:r>
          </w:p>
          <w:p w14:paraId="5A439282"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La metodología se estructura en varias fases. En primer lugar, se realizará la adquisición de imágenes microscópicas de herramientas sometidas a diferentes condiciones de uso. Posteriormente, se aplicarán técnicas de preprocesamiento, como filtrado de ruido, normalización de iluminación y segmentación de áreas de interés.</w:t>
            </w:r>
          </w:p>
          <w:p w14:paraId="6D586DE6"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En la fase de análisis, se extraerán características relevantes que describan el desgaste, tales como rugosidad, patrones de fractura o variaciones geométricas. Estas características servirán como entrada para modelos de aprendizaje automático, incluyendo redes neuronales convolucionales (CNN), que han demostrado un alto rendimiento en tareas de clasificación de imágenes.</w:t>
            </w:r>
          </w:p>
          <w:p w14:paraId="747D073D"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Finalmente, se desarrollará un modelo predictivo que permita estimar el estado de desgaste y la vida útil restante de la herramienta. Este modelo será evaluado en términos de precisión, robustez y capacidad de generalización.</w:t>
            </w:r>
          </w:p>
          <w:p w14:paraId="7B8BA492"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Resultados</w:t>
            </w:r>
          </w:p>
          <w:p w14:paraId="37356728" w14:textId="77777777" w:rsidR="00174E11" w:rsidRPr="00186303" w:rsidRDefault="00174E11" w:rsidP="00174E11">
            <w:pPr>
              <w:spacing w:before="120" w:after="120"/>
              <w:contextualSpacing/>
              <w:jc w:val="both"/>
              <w:rPr>
                <w:rFonts w:ascii="Calibri" w:hAnsi="Calibri"/>
                <w:noProof/>
                <w:sz w:val="22"/>
                <w:szCs w:val="22"/>
              </w:rPr>
            </w:pPr>
            <w:r w:rsidRPr="00186303">
              <w:rPr>
                <w:rFonts w:ascii="Calibri" w:hAnsi="Calibri"/>
                <w:noProof/>
                <w:sz w:val="22"/>
                <w:szCs w:val="22"/>
              </w:rPr>
              <w:t>Se espera que el desarrollo de esta estrategia inteligente permita alcanzar los siguientes resultados:</w:t>
            </w:r>
          </w:p>
          <w:p w14:paraId="16C33596"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Alta precisión en la detección del desgaste: El modelo será capaz de identificar distintos niveles de desgaste con un alto grado de fiabilidad, reduciendo la dependencia de evaluaciones subjetivas.</w:t>
            </w:r>
          </w:p>
          <w:p w14:paraId="59EB7CFA"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Predicción de vida útil restante: Más allá de la clasificación del estado actual, se espera que el sistema proporcione estimaciones predictivas sobre el tiempo restante de uso de la herramienta.</w:t>
            </w:r>
          </w:p>
          <w:p w14:paraId="3A267995"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Monitorización en tiempo real: La implementación de un sistema en línea permitirá detectar fallos de manera temprana y tomar decisiones inmediatas, evitando interrupciones en la producción.</w:t>
            </w:r>
          </w:p>
          <w:p w14:paraId="71131F25" w14:textId="77777777" w:rsidR="00174E11" w:rsidRPr="00186303"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Reducción de costes operativos: Al optimizar el uso de las herramientas y minimizar el mantenimiento no planificado, se lograrán ahorros significativos en costes de producción.</w:t>
            </w:r>
          </w:p>
          <w:p w14:paraId="534DBFBD" w14:textId="7BB1E8E9" w:rsidR="0079704A" w:rsidRPr="00174E11" w:rsidRDefault="00174E11" w:rsidP="00174E11">
            <w:pPr>
              <w:tabs>
                <w:tab w:val="num" w:pos="720"/>
              </w:tabs>
              <w:spacing w:before="120" w:after="120"/>
              <w:contextualSpacing/>
              <w:jc w:val="both"/>
              <w:rPr>
                <w:rFonts w:ascii="Calibri" w:hAnsi="Calibri"/>
                <w:noProof/>
                <w:sz w:val="22"/>
                <w:szCs w:val="22"/>
              </w:rPr>
            </w:pPr>
            <w:r w:rsidRPr="00186303">
              <w:rPr>
                <w:rFonts w:ascii="Calibri" w:hAnsi="Calibri"/>
                <w:noProof/>
                <w:sz w:val="22"/>
                <w:szCs w:val="22"/>
              </w:rPr>
              <w:t>Escalabilidad industrial: El sistema propuesto podrá adaptarse a diferentes tipos de herramientas y procesos de mecanizado, facilitando su adopción en diversos entornos industriales.</w:t>
            </w:r>
          </w:p>
        </w:tc>
      </w:tr>
      <w:tr w:rsidR="00AC7919" w:rsidRPr="00240906" w14:paraId="00FC943F" w14:textId="77777777" w:rsidTr="00174E11">
        <w:tc>
          <w:tcPr>
            <w:tcW w:w="8494"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lastRenderedPageBreak/>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174E11">
        <w:tc>
          <w:tcPr>
            <w:tcW w:w="8494" w:type="dxa"/>
            <w:tcBorders>
              <w:bottom w:val="single" w:sz="4" w:space="0" w:color="auto"/>
            </w:tcBorders>
          </w:tcPr>
          <w:p w14:paraId="74CFE98F" w14:textId="5A82D370" w:rsidR="00AC7919" w:rsidRPr="00240906" w:rsidRDefault="00663F67" w:rsidP="008D1FBD">
            <w:pPr>
              <w:spacing w:before="120" w:after="120"/>
              <w:contextualSpacing/>
              <w:jc w:val="both"/>
              <w:rPr>
                <w:rFonts w:ascii="Calibri" w:hAnsi="Calibri"/>
                <w:sz w:val="22"/>
                <w:szCs w:val="22"/>
                <w:lang w:val="es-ES_tradnl"/>
              </w:rPr>
            </w:pPr>
            <w:r>
              <w:rPr>
                <w:rFonts w:ascii="Calibri" w:hAnsi="Calibri"/>
                <w:sz w:val="22"/>
                <w:szCs w:val="22"/>
                <w:lang w:val="es-ES_tradnl"/>
              </w:rPr>
              <w:t xml:space="preserve">Por favor, contacta con el profesor </w:t>
            </w:r>
            <w:r w:rsidR="0079704A">
              <w:rPr>
                <w:rFonts w:ascii="Calibri" w:hAnsi="Calibri"/>
                <w:sz w:val="22"/>
                <w:szCs w:val="22"/>
                <w:lang w:val="es-ES_tradnl"/>
              </w:rPr>
              <w:t>Alain Gil Del Val</w:t>
            </w:r>
            <w:r>
              <w:rPr>
                <w:rFonts w:ascii="Calibri" w:hAnsi="Calibri"/>
                <w:sz w:val="22"/>
                <w:szCs w:val="22"/>
                <w:lang w:val="es-ES_tradnl"/>
              </w:rPr>
              <w:t xml:space="preserve"> si estás interesado en esta propuesta: </w:t>
            </w:r>
            <w:hyperlink r:id="rId11" w:history="1">
              <w:r w:rsidRPr="0079632F">
                <w:rPr>
                  <w:rStyle w:val="Hipervnculo"/>
                  <w:rFonts w:ascii="Calibri" w:hAnsi="Calibri"/>
                  <w:sz w:val="22"/>
                  <w:szCs w:val="22"/>
                  <w:lang w:val="es-ES_tradnl"/>
                </w:rPr>
                <w:t>alain.gildelval@unir.net</w:t>
              </w:r>
            </w:hyperlink>
            <w:r>
              <w:rPr>
                <w:rFonts w:ascii="Calibri" w:hAnsi="Calibri"/>
                <w:sz w:val="22"/>
                <w:szCs w:val="22"/>
                <w:lang w:val="es-ES_tradnl"/>
              </w:rPr>
              <w:t xml:space="preserve"> </w:t>
            </w:r>
          </w:p>
        </w:tc>
      </w:tr>
      <w:tr w:rsidR="00AC7919" w:rsidRPr="00240906" w14:paraId="22EC1CBF" w14:textId="77777777" w:rsidTr="00174E11">
        <w:tc>
          <w:tcPr>
            <w:tcW w:w="8494"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240906" w14:paraId="3EFCCCD5" w14:textId="77777777" w:rsidTr="00174E11">
        <w:tc>
          <w:tcPr>
            <w:tcW w:w="8494" w:type="dxa"/>
            <w:tcBorders>
              <w:bottom w:val="single" w:sz="4" w:space="0" w:color="auto"/>
            </w:tcBorders>
          </w:tcPr>
          <w:p w14:paraId="571796B0" w14:textId="3F1CA197" w:rsidR="00920C8C" w:rsidRPr="00240906" w:rsidRDefault="0079704A" w:rsidP="008D1FBD">
            <w:pPr>
              <w:spacing w:before="120" w:after="120"/>
              <w:contextualSpacing/>
              <w:jc w:val="both"/>
              <w:rPr>
                <w:rFonts w:ascii="Calibri" w:hAnsi="Calibri"/>
                <w:sz w:val="22"/>
                <w:szCs w:val="22"/>
                <w:lang w:val="es-ES_tradnl"/>
              </w:rPr>
            </w:pPr>
            <w:r w:rsidRPr="0079704A">
              <w:rPr>
                <w:rFonts w:ascii="Calibri" w:hAnsi="Calibri"/>
                <w:sz w:val="22"/>
                <w:szCs w:val="22"/>
                <w:lang w:val="es-ES_tradnl"/>
              </w:rPr>
              <w:t>https://orcid.org/0000-0003-1653-7702</w:t>
            </w:r>
          </w:p>
        </w:tc>
      </w:tr>
      <w:tr w:rsidR="00665011" w:rsidRPr="00665011" w14:paraId="69B1FE65" w14:textId="77777777" w:rsidTr="00174E11">
        <w:tc>
          <w:tcPr>
            <w:tcW w:w="8494"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174E11">
        <w:tc>
          <w:tcPr>
            <w:tcW w:w="8494" w:type="dxa"/>
          </w:tcPr>
          <w:p w14:paraId="6C795377" w14:textId="4354E7A1" w:rsidR="00665011" w:rsidRPr="00240906" w:rsidRDefault="0079704A" w:rsidP="00A864D9">
            <w:pPr>
              <w:spacing w:before="120" w:after="120"/>
              <w:contextualSpacing/>
              <w:jc w:val="both"/>
              <w:rPr>
                <w:rFonts w:ascii="Calibri" w:hAnsi="Calibri"/>
                <w:sz w:val="22"/>
                <w:szCs w:val="22"/>
                <w:lang w:val="es-ES_tradnl"/>
              </w:rPr>
            </w:pPr>
            <w:r>
              <w:rPr>
                <w:rFonts w:ascii="Calibri" w:hAnsi="Calibri"/>
                <w:sz w:val="22"/>
                <w:szCs w:val="22"/>
                <w:lang w:val="es-ES_tradnl"/>
              </w:rPr>
              <w:t>Ayuda doctorales internas UNIR para el grupo de investigación DDS</w:t>
            </w:r>
            <w:r w:rsidR="00663F67">
              <w:rPr>
                <w:rFonts w:ascii="Calibri" w:hAnsi="Calibri"/>
                <w:sz w:val="22"/>
                <w:szCs w:val="22"/>
                <w:lang w:val="es-ES_tradnl"/>
              </w:rPr>
              <w:t xml:space="preserve">: </w:t>
            </w:r>
            <w:hyperlink r:id="rId12" w:history="1">
              <w:r w:rsidR="00663F67" w:rsidRPr="0079632F">
                <w:rPr>
                  <w:rStyle w:val="Hipervnculo"/>
                  <w:rFonts w:ascii="Calibri" w:hAnsi="Calibri"/>
                  <w:sz w:val="22"/>
                  <w:szCs w:val="22"/>
                  <w:lang w:val="es-ES_tradnl"/>
                </w:rPr>
                <w:t>https://www.unir.net/escuela-doctorado/becas-ayudas/</w:t>
              </w:r>
            </w:hyperlink>
            <w:r w:rsidR="00663F67">
              <w:rPr>
                <w:rFonts w:ascii="Calibri" w:hAnsi="Calibri"/>
                <w:sz w:val="22"/>
                <w:szCs w:val="22"/>
                <w:lang w:val="es-ES_tradnl"/>
              </w:rPr>
              <w:t xml:space="preserve"> </w:t>
            </w:r>
          </w:p>
        </w:tc>
      </w:tr>
    </w:tbl>
    <w:p w14:paraId="303C2551" w14:textId="77777777" w:rsidR="00BB7900" w:rsidRPr="00AC7919" w:rsidRDefault="00BB7900" w:rsidP="00F47CB2">
      <w:pPr>
        <w:jc w:val="both"/>
        <w:rPr>
          <w:rFonts w:ascii="Calibri" w:hAnsi="Calibri"/>
          <w:sz w:val="22"/>
          <w:szCs w:val="22"/>
          <w:lang w:val="es-ES_tradnl"/>
        </w:rPr>
      </w:pPr>
    </w:p>
    <w:p w14:paraId="0E707264" w14:textId="77777777" w:rsidR="00AC7919" w:rsidRDefault="00665011" w:rsidP="109932D6">
      <w:pPr>
        <w:jc w:val="both"/>
        <w:rPr>
          <w:rFonts w:ascii="Calibri" w:hAnsi="Calibri"/>
          <w:sz w:val="22"/>
          <w:szCs w:val="22"/>
        </w:rPr>
      </w:pPr>
      <w:r w:rsidRPr="109932D6">
        <w:rPr>
          <w:rFonts w:ascii="Calibri" w:hAnsi="Calibri"/>
          <w:sz w:val="22"/>
          <w:szCs w:val="22"/>
          <w:vertAlign w:val="superscript"/>
        </w:rPr>
        <w:lastRenderedPageBreak/>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p w14:paraId="7760143F" w14:textId="77777777" w:rsidR="0075028F" w:rsidRPr="00AC7919" w:rsidRDefault="0075028F" w:rsidP="00F47CB2">
      <w:pPr>
        <w:jc w:val="both"/>
        <w:rPr>
          <w:rFonts w:ascii="Calibri" w:hAnsi="Calibri"/>
          <w:sz w:val="22"/>
          <w:szCs w:val="22"/>
          <w:lang w:val="es-ES_tradnl"/>
        </w:rPr>
      </w:pPr>
    </w:p>
    <w:sectPr w:rsidR="0075028F" w:rsidRPr="00AC7919"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4603" w14:textId="77777777" w:rsidR="005E1F63" w:rsidRDefault="005E1F63">
      <w:r>
        <w:separator/>
      </w:r>
    </w:p>
  </w:endnote>
  <w:endnote w:type="continuationSeparator" w:id="0">
    <w:p w14:paraId="58FEE29F" w14:textId="77777777" w:rsidR="005E1F63" w:rsidRDefault="005E1F63">
      <w:r>
        <w:continuationSeparator/>
      </w:r>
    </w:p>
  </w:endnote>
  <w:endnote w:type="continuationNotice" w:id="1">
    <w:p w14:paraId="1693B44C" w14:textId="77777777" w:rsidR="005E1F63" w:rsidRDefault="005E1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8031" w14:textId="77777777" w:rsidR="005E1F63" w:rsidRDefault="005E1F63">
      <w:r>
        <w:separator/>
      </w:r>
    </w:p>
  </w:footnote>
  <w:footnote w:type="continuationSeparator" w:id="0">
    <w:p w14:paraId="767A6CC2" w14:textId="77777777" w:rsidR="005E1F63" w:rsidRDefault="005E1F63">
      <w:r>
        <w:continuationSeparator/>
      </w:r>
    </w:p>
  </w:footnote>
  <w:footnote w:type="continuationNotice" w:id="1">
    <w:p w14:paraId="34049A3D" w14:textId="77777777" w:rsidR="005E1F63" w:rsidRDefault="005E1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117689">
    <w:abstractNumId w:val="4"/>
  </w:num>
  <w:num w:numId="2" w16cid:durableId="847603002">
    <w:abstractNumId w:val="5"/>
  </w:num>
  <w:num w:numId="3" w16cid:durableId="1008870790">
    <w:abstractNumId w:val="1"/>
  </w:num>
  <w:num w:numId="4" w16cid:durableId="1810248656">
    <w:abstractNumId w:val="2"/>
  </w:num>
  <w:num w:numId="5" w16cid:durableId="294140409">
    <w:abstractNumId w:val="1"/>
  </w:num>
  <w:num w:numId="6" w16cid:durableId="634409117">
    <w:abstractNumId w:val="3"/>
  </w:num>
  <w:num w:numId="7" w16cid:durableId="205627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30E88"/>
    <w:rsid w:val="0004797C"/>
    <w:rsid w:val="00063A13"/>
    <w:rsid w:val="00086B07"/>
    <w:rsid w:val="000A3472"/>
    <w:rsid w:val="000A3B2F"/>
    <w:rsid w:val="000D2C2F"/>
    <w:rsid w:val="000E3B5B"/>
    <w:rsid w:val="000E6A1D"/>
    <w:rsid w:val="000E7837"/>
    <w:rsid w:val="00100BF9"/>
    <w:rsid w:val="00103ADE"/>
    <w:rsid w:val="001150D1"/>
    <w:rsid w:val="001277E2"/>
    <w:rsid w:val="00135FEC"/>
    <w:rsid w:val="00142732"/>
    <w:rsid w:val="00144696"/>
    <w:rsid w:val="00161310"/>
    <w:rsid w:val="00174E11"/>
    <w:rsid w:val="00177ED7"/>
    <w:rsid w:val="001801CE"/>
    <w:rsid w:val="00185B50"/>
    <w:rsid w:val="001911DE"/>
    <w:rsid w:val="001B06BC"/>
    <w:rsid w:val="001B7357"/>
    <w:rsid w:val="001C034D"/>
    <w:rsid w:val="001D2C7C"/>
    <w:rsid w:val="001D37E4"/>
    <w:rsid w:val="001F234A"/>
    <w:rsid w:val="00217D7B"/>
    <w:rsid w:val="002206FB"/>
    <w:rsid w:val="002306C7"/>
    <w:rsid w:val="0024081B"/>
    <w:rsid w:val="00240906"/>
    <w:rsid w:val="00247CB8"/>
    <w:rsid w:val="00251C2D"/>
    <w:rsid w:val="00256343"/>
    <w:rsid w:val="00262505"/>
    <w:rsid w:val="00265E28"/>
    <w:rsid w:val="00286A97"/>
    <w:rsid w:val="0028756E"/>
    <w:rsid w:val="002A3346"/>
    <w:rsid w:val="002B57E0"/>
    <w:rsid w:val="002C0DA3"/>
    <w:rsid w:val="002D2648"/>
    <w:rsid w:val="002D7CF8"/>
    <w:rsid w:val="002F4395"/>
    <w:rsid w:val="002F4722"/>
    <w:rsid w:val="003004D5"/>
    <w:rsid w:val="0032304B"/>
    <w:rsid w:val="003279C3"/>
    <w:rsid w:val="003468D9"/>
    <w:rsid w:val="00353AF0"/>
    <w:rsid w:val="003605C0"/>
    <w:rsid w:val="003608B6"/>
    <w:rsid w:val="00361D05"/>
    <w:rsid w:val="00365FF3"/>
    <w:rsid w:val="00367066"/>
    <w:rsid w:val="00370148"/>
    <w:rsid w:val="0037339A"/>
    <w:rsid w:val="00373A14"/>
    <w:rsid w:val="0038347F"/>
    <w:rsid w:val="003A163E"/>
    <w:rsid w:val="003A630E"/>
    <w:rsid w:val="003B67D3"/>
    <w:rsid w:val="003C5DB7"/>
    <w:rsid w:val="003C6A76"/>
    <w:rsid w:val="003D2DB0"/>
    <w:rsid w:val="003D6C78"/>
    <w:rsid w:val="00400232"/>
    <w:rsid w:val="004059E8"/>
    <w:rsid w:val="0040720C"/>
    <w:rsid w:val="00407587"/>
    <w:rsid w:val="00444203"/>
    <w:rsid w:val="00451FCA"/>
    <w:rsid w:val="00452E76"/>
    <w:rsid w:val="00486CBA"/>
    <w:rsid w:val="004C1B9E"/>
    <w:rsid w:val="004E2B45"/>
    <w:rsid w:val="004E4CC9"/>
    <w:rsid w:val="00511CFF"/>
    <w:rsid w:val="00517015"/>
    <w:rsid w:val="00536EFE"/>
    <w:rsid w:val="00546C2A"/>
    <w:rsid w:val="00546F5E"/>
    <w:rsid w:val="00561747"/>
    <w:rsid w:val="005933AC"/>
    <w:rsid w:val="0059695F"/>
    <w:rsid w:val="005A1C27"/>
    <w:rsid w:val="005B02EF"/>
    <w:rsid w:val="005C108C"/>
    <w:rsid w:val="005D1653"/>
    <w:rsid w:val="005E1F63"/>
    <w:rsid w:val="005F0706"/>
    <w:rsid w:val="00611F6A"/>
    <w:rsid w:val="006206D2"/>
    <w:rsid w:val="00622BB2"/>
    <w:rsid w:val="00644560"/>
    <w:rsid w:val="00650FAD"/>
    <w:rsid w:val="00660F03"/>
    <w:rsid w:val="00663F67"/>
    <w:rsid w:val="00665011"/>
    <w:rsid w:val="0066716E"/>
    <w:rsid w:val="00674FBB"/>
    <w:rsid w:val="0069132C"/>
    <w:rsid w:val="00696370"/>
    <w:rsid w:val="006A7ABA"/>
    <w:rsid w:val="006B0D68"/>
    <w:rsid w:val="006C7EED"/>
    <w:rsid w:val="006D2B6C"/>
    <w:rsid w:val="006F3DF5"/>
    <w:rsid w:val="006F4DE6"/>
    <w:rsid w:val="006F4FF1"/>
    <w:rsid w:val="007105D6"/>
    <w:rsid w:val="00714EA5"/>
    <w:rsid w:val="007240EF"/>
    <w:rsid w:val="007312D3"/>
    <w:rsid w:val="0075028F"/>
    <w:rsid w:val="007614CC"/>
    <w:rsid w:val="0076174B"/>
    <w:rsid w:val="00765285"/>
    <w:rsid w:val="00770EF4"/>
    <w:rsid w:val="007743A6"/>
    <w:rsid w:val="0079704A"/>
    <w:rsid w:val="007B0094"/>
    <w:rsid w:val="007B4893"/>
    <w:rsid w:val="007B5BA4"/>
    <w:rsid w:val="007E16E1"/>
    <w:rsid w:val="007F2885"/>
    <w:rsid w:val="007F6883"/>
    <w:rsid w:val="00805AE0"/>
    <w:rsid w:val="00806F82"/>
    <w:rsid w:val="00807BBA"/>
    <w:rsid w:val="00813BA5"/>
    <w:rsid w:val="00816B88"/>
    <w:rsid w:val="0082699B"/>
    <w:rsid w:val="0084015A"/>
    <w:rsid w:val="00860762"/>
    <w:rsid w:val="008728E2"/>
    <w:rsid w:val="00894304"/>
    <w:rsid w:val="00895F1B"/>
    <w:rsid w:val="008D1FBD"/>
    <w:rsid w:val="008E76A8"/>
    <w:rsid w:val="008F77EA"/>
    <w:rsid w:val="00920C8C"/>
    <w:rsid w:val="00920E21"/>
    <w:rsid w:val="00925280"/>
    <w:rsid w:val="00940F3E"/>
    <w:rsid w:val="00963DD8"/>
    <w:rsid w:val="0097011F"/>
    <w:rsid w:val="009741D3"/>
    <w:rsid w:val="009741EB"/>
    <w:rsid w:val="009930FC"/>
    <w:rsid w:val="009A62BD"/>
    <w:rsid w:val="009B3EC5"/>
    <w:rsid w:val="009B4011"/>
    <w:rsid w:val="009B7184"/>
    <w:rsid w:val="00A04C83"/>
    <w:rsid w:val="00A07683"/>
    <w:rsid w:val="00A116CF"/>
    <w:rsid w:val="00A25D63"/>
    <w:rsid w:val="00A348CD"/>
    <w:rsid w:val="00A34C74"/>
    <w:rsid w:val="00A43B18"/>
    <w:rsid w:val="00A46F66"/>
    <w:rsid w:val="00A528A6"/>
    <w:rsid w:val="00A54C4A"/>
    <w:rsid w:val="00A847CB"/>
    <w:rsid w:val="00A864D9"/>
    <w:rsid w:val="00A91F4D"/>
    <w:rsid w:val="00AA2F34"/>
    <w:rsid w:val="00AB4A64"/>
    <w:rsid w:val="00AC3194"/>
    <w:rsid w:val="00AC5E77"/>
    <w:rsid w:val="00AC7919"/>
    <w:rsid w:val="00AE16DA"/>
    <w:rsid w:val="00AE366F"/>
    <w:rsid w:val="00AF0FD9"/>
    <w:rsid w:val="00AF3DFC"/>
    <w:rsid w:val="00B36B70"/>
    <w:rsid w:val="00B43A1F"/>
    <w:rsid w:val="00B52181"/>
    <w:rsid w:val="00B8217A"/>
    <w:rsid w:val="00B93F2E"/>
    <w:rsid w:val="00BA538C"/>
    <w:rsid w:val="00BB39BE"/>
    <w:rsid w:val="00BB7900"/>
    <w:rsid w:val="00BD0E80"/>
    <w:rsid w:val="00BD1CBA"/>
    <w:rsid w:val="00C06E04"/>
    <w:rsid w:val="00C141E0"/>
    <w:rsid w:val="00C211DF"/>
    <w:rsid w:val="00C26719"/>
    <w:rsid w:val="00C26AF7"/>
    <w:rsid w:val="00C27236"/>
    <w:rsid w:val="00C37F1F"/>
    <w:rsid w:val="00C42520"/>
    <w:rsid w:val="00C44830"/>
    <w:rsid w:val="00C5221A"/>
    <w:rsid w:val="00C65D1D"/>
    <w:rsid w:val="00C7732D"/>
    <w:rsid w:val="00C84909"/>
    <w:rsid w:val="00C90C94"/>
    <w:rsid w:val="00C97281"/>
    <w:rsid w:val="00CA2DBC"/>
    <w:rsid w:val="00CB3E1B"/>
    <w:rsid w:val="00CB7D62"/>
    <w:rsid w:val="00CC06D0"/>
    <w:rsid w:val="00CC1C24"/>
    <w:rsid w:val="00CC3C62"/>
    <w:rsid w:val="00CC7581"/>
    <w:rsid w:val="00CD4511"/>
    <w:rsid w:val="00CE4426"/>
    <w:rsid w:val="00CE53B3"/>
    <w:rsid w:val="00CF182E"/>
    <w:rsid w:val="00CF2BF1"/>
    <w:rsid w:val="00CF4E0B"/>
    <w:rsid w:val="00CF698D"/>
    <w:rsid w:val="00CF6EA0"/>
    <w:rsid w:val="00D025CA"/>
    <w:rsid w:val="00D879C0"/>
    <w:rsid w:val="00DD0789"/>
    <w:rsid w:val="00DD2DE2"/>
    <w:rsid w:val="00DD6F7D"/>
    <w:rsid w:val="00DE0433"/>
    <w:rsid w:val="00DE14C4"/>
    <w:rsid w:val="00DE725B"/>
    <w:rsid w:val="00DF7DEF"/>
    <w:rsid w:val="00E203A8"/>
    <w:rsid w:val="00E40B6A"/>
    <w:rsid w:val="00E41599"/>
    <w:rsid w:val="00E47AEA"/>
    <w:rsid w:val="00E6639C"/>
    <w:rsid w:val="00E66D2F"/>
    <w:rsid w:val="00E767E7"/>
    <w:rsid w:val="00E87034"/>
    <w:rsid w:val="00E978D6"/>
    <w:rsid w:val="00ED3EE9"/>
    <w:rsid w:val="00EE150C"/>
    <w:rsid w:val="00EF108E"/>
    <w:rsid w:val="00EF3029"/>
    <w:rsid w:val="00EF4EF3"/>
    <w:rsid w:val="00F03372"/>
    <w:rsid w:val="00F072E0"/>
    <w:rsid w:val="00F20321"/>
    <w:rsid w:val="00F23F0E"/>
    <w:rsid w:val="00F26719"/>
    <w:rsid w:val="00F30D00"/>
    <w:rsid w:val="00F43E96"/>
    <w:rsid w:val="00F46982"/>
    <w:rsid w:val="00F47CB2"/>
    <w:rsid w:val="00F65856"/>
    <w:rsid w:val="00F67CDB"/>
    <w:rsid w:val="00F9337E"/>
    <w:rsid w:val="00FA0A78"/>
    <w:rsid w:val="00FA7F66"/>
    <w:rsid w:val="00FB62CC"/>
    <w:rsid w:val="00FB7A10"/>
    <w:rsid w:val="00FD2C6F"/>
    <w:rsid w:val="00FD300D"/>
    <w:rsid w:val="00FD65DC"/>
    <w:rsid w:val="00FE135E"/>
    <w:rsid w:val="00FE6D7B"/>
    <w:rsid w:val="00FE7F22"/>
    <w:rsid w:val="00FF0780"/>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47F"/>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663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ain.gildelval@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21320-6466-43BB-B76F-BDAACEC55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customXml/itemProps3.xml><?xml version="1.0" encoding="utf-8"?>
<ds:datastoreItem xmlns:ds="http://schemas.openxmlformats.org/officeDocument/2006/customXml" ds:itemID="{6186D3B8-2BAC-4A0A-990F-EA08E68D80D1}">
  <ds:schemaRefs>
    <ds:schemaRef ds:uri="http://schemas.microsoft.com/sharepoint/v3/contenttype/forms"/>
  </ds:schemaRefs>
</ds:datastoreItem>
</file>

<file path=customXml/itemProps4.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1010</Words>
  <Characters>5555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r</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3</cp:revision>
  <cp:lastPrinted>2020-01-25T09:41:00Z</cp:lastPrinted>
  <dcterms:created xsi:type="dcterms:W3CDTF">2026-06-17T18:06:00Z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