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3645760F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 xml:space="preserve">que </w:t>
      </w:r>
      <w:r w:rsidR="00BB595B" w:rsidRPr="109932D6">
        <w:rPr>
          <w:rFonts w:ascii="Calibri" w:hAnsi="Calibri"/>
          <w:sz w:val="22"/>
          <w:szCs w:val="22"/>
        </w:rPr>
        <w:t>está</w:t>
      </w:r>
      <w:r w:rsidR="007F6883" w:rsidRPr="109932D6">
        <w:rPr>
          <w:rFonts w:ascii="Calibri" w:hAnsi="Calibri"/>
          <w:sz w:val="22"/>
          <w:szCs w:val="22"/>
        </w:rPr>
        <w:t xml:space="preserve">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78F12CC9" w:rsidR="00AC7919" w:rsidRPr="00240906" w:rsidRDefault="00BB595B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Implementación de las </w:t>
            </w:r>
            <w:r w:rsidR="0089558B">
              <w:rPr>
                <w:rFonts w:ascii="Calibri" w:hAnsi="Calibri"/>
                <w:sz w:val="22"/>
                <w:szCs w:val="22"/>
                <w:lang w:val="es-ES_tradnl"/>
              </w:rPr>
              <w:t>Políticas de seguridad informática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en los sistemas productivos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1B6D45B2" w:rsidR="00665011" w:rsidRPr="007105D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Ciberseguridad</w:t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40906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29B7A1A" w14:textId="77777777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537C7"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ES_tradnl"/>
              </w:rPr>
              <w:t>Breve Descripción</w:t>
            </w: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  <w:p w14:paraId="0C91EF3A" w14:textId="7DB0766C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 xml:space="preserve">En un mundo cada vez más digitalizado, las organizaciones enfrentan desafíos crecientes en materia de seguridad informática. Las amenazas cibernéticas, como ataques de </w:t>
            </w:r>
            <w:proofErr w:type="gramStart"/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>malware</w:t>
            </w:r>
            <w:proofErr w:type="gramEnd"/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>, filtración de datos y accesos no autorizados, ponen en riesgo la confidencialidad, integridad y disponibilidad de la información.</w:t>
            </w:r>
            <w:r w:rsidR="002537C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>Esta investigación tiene como propósito analizar, diseñar y optimizar políticas de seguridad informática que permitan proteger los activos digitales de las organizaciones. A través de un enfoque integral, se abordarán buenas prácticas, normas internacionales y estrategias efectivas que contribuyan a la gestión de riesgos y la mitigación de vulnerabilidades. Además, se evaluarán casos de estudio para identificar fortalezas y áreas de mejora en la implementación de políticas de seguridad.</w:t>
            </w:r>
          </w:p>
          <w:p w14:paraId="55934AA7" w14:textId="77777777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EA3C68E" w14:textId="77777777" w:rsidR="0089558B" w:rsidRPr="002537C7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2537C7"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ES_tradnl"/>
              </w:rPr>
              <w:t>Objetivos:</w:t>
            </w:r>
          </w:p>
          <w:p w14:paraId="3C04FFEA" w14:textId="77777777" w:rsidR="0089558B" w:rsidRPr="002537C7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2537C7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  <w:t>Objetivo General:</w:t>
            </w:r>
          </w:p>
          <w:p w14:paraId="26DA950B" w14:textId="7DD0C6A5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 xml:space="preserve">Desarrollar políticas de seguridad informática robustas y efectivas que </w:t>
            </w:r>
            <w:r w:rsidR="00BB595B">
              <w:rPr>
                <w:rFonts w:ascii="Calibri" w:hAnsi="Calibri"/>
                <w:sz w:val="22"/>
                <w:szCs w:val="22"/>
                <w:lang w:val="es-ES_tradnl"/>
              </w:rPr>
              <w:t xml:space="preserve">sean implementadas correctamente en los sistemas en producción. Ello </w:t>
            </w:r>
            <w:r w:rsidR="00BB595B" w:rsidRPr="0089558B">
              <w:rPr>
                <w:rFonts w:ascii="Calibri" w:hAnsi="Calibri"/>
                <w:sz w:val="22"/>
                <w:szCs w:val="22"/>
                <w:lang w:val="es-ES_tradnl"/>
              </w:rPr>
              <w:t>permit</w:t>
            </w:r>
            <w:r w:rsidR="00BB595B">
              <w:rPr>
                <w:rFonts w:ascii="Calibri" w:hAnsi="Calibri"/>
                <w:sz w:val="22"/>
                <w:szCs w:val="22"/>
                <w:lang w:val="es-ES_tradnl"/>
              </w:rPr>
              <w:t xml:space="preserve">irá </w:t>
            </w:r>
            <w:r w:rsidR="00BB595B" w:rsidRPr="0089558B">
              <w:rPr>
                <w:rFonts w:ascii="Calibri" w:hAnsi="Calibri"/>
                <w:sz w:val="22"/>
                <w:szCs w:val="22"/>
                <w:lang w:val="es-ES_tradnl"/>
              </w:rPr>
              <w:t>la</w:t>
            </w: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 xml:space="preserve"> protección integral de los recursos tecnológicos y la información en entornos organizacionales.</w:t>
            </w:r>
          </w:p>
          <w:p w14:paraId="2A948317" w14:textId="77777777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1E75D6C2" w14:textId="77777777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537C7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  <w:t>Objetivos Específicos</w:t>
            </w:r>
            <w:r w:rsidRPr="0089558B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</w:p>
          <w:p w14:paraId="29BC9C4E" w14:textId="77777777" w:rsidR="0089558B" w:rsidRPr="0089558B" w:rsidRDefault="0089558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3C52F48" w14:textId="77777777" w:rsidR="0089558B" w:rsidRPr="00BB595B" w:rsidRDefault="0089558B" w:rsidP="00BB595B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Identificar amenazas y vulnerabilidades comunes: Analizar los principales riesgos de seguridad informática en distintos sectores productivos.</w:t>
            </w:r>
          </w:p>
          <w:p w14:paraId="4FF04144" w14:textId="77777777" w:rsidR="0089558B" w:rsidRPr="00BB595B" w:rsidRDefault="0089558B" w:rsidP="00BB595B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Diseñar políticas de seguridad efectivas: Elaborar lineamientos específicos que incluyan controles técnicos, administrativos y físicos.</w:t>
            </w:r>
          </w:p>
          <w:p w14:paraId="7F771E5B" w14:textId="77777777" w:rsidR="0089558B" w:rsidRPr="00BB595B" w:rsidRDefault="0089558B" w:rsidP="00BB595B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>Incorporar normativas internacionales: Integrar estándares reconocidos, como ISO/IEC 27001 y el RGPD, para garantizar el cumplimiento normativo.</w:t>
            </w:r>
          </w:p>
          <w:p w14:paraId="4F5224B5" w14:textId="77777777" w:rsidR="0089558B" w:rsidRPr="00BB595B" w:rsidRDefault="0089558B" w:rsidP="00BB595B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Evaluar el impacto de políticas existentes: Realizar estudios de caso para identificar aciertos y fallas en la implementación de políticas de seguridad.</w:t>
            </w:r>
          </w:p>
          <w:p w14:paraId="30B6E620" w14:textId="77777777" w:rsidR="0089558B" w:rsidRPr="00BB595B" w:rsidRDefault="0089558B" w:rsidP="00BB595B">
            <w:pPr>
              <w:pStyle w:val="Prrafodelista"/>
              <w:numPr>
                <w:ilvl w:val="0"/>
                <w:numId w:val="9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Desarrollar estrategias de concienciación: Proponer programas de capacitación que fomenten una cultura de ciberseguridad dentro de las organizaciones.</w:t>
            </w:r>
          </w:p>
          <w:p w14:paraId="5A5E4801" w14:textId="77777777" w:rsidR="00BB595B" w:rsidRDefault="00BB595B" w:rsidP="0089558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2051D387" w14:textId="77777777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ES_tradnl"/>
              </w:rPr>
            </w:pPr>
            <w:proofErr w:type="gramStart"/>
            <w:r w:rsidRPr="00BB595B">
              <w:rPr>
                <w:rFonts w:ascii="Calibri" w:hAnsi="Calibri"/>
                <w:b/>
                <w:bCs/>
                <w:sz w:val="22"/>
                <w:szCs w:val="22"/>
                <w:u w:val="single"/>
                <w:lang w:val="es-ES_tradnl"/>
              </w:rPr>
              <w:t>Problema a resolver</w:t>
            </w:r>
            <w:proofErr w:type="gramEnd"/>
          </w:p>
          <w:p w14:paraId="62DAD007" w14:textId="45A5BE40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En el contexto actual de creciente digitalización y transformación digital, las organizaciones enfrentan múltiples desafíos en torno a la protección de sus sistemas productivos frente a ciberamenazas. Las políticas de seguridad informática adoptadas en muchos sectores productivos resultan insuficientes o ineficaces ante la evolución constante de los ataques cibernéticos, lo que genera vulnerabilidades críticas en la infraestructura tecnológica y pone en riesgo la continuidad operativa y la protección de la información sensible.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A pesar de los esfuerzos realizados en la implementación de medidas de seguridad, persisten brechas significativas debido a la falta de actualización de políticas, la adopción incompleta de estándares internacionales y la baja concienciación en materia de ciberseguridad entre los empleados. Además, muchos entornos productivos carecen de un enfoque integral que contemple tanto controles técnicos como administrativos y físicos, lo que aumenta la exposición a incidentes que pueden tener consecuencias económicas, legales y reputacionales.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Por lo tanto, el problema central que aborda esta propuesta es la necesidad de revisar y fortalecer las políticas de seguridad informática en los sistemas productivos, garantizando su efectividad frente a amenazas contemporáneas y su alineación con normativas internacionales reconocidas.</w:t>
            </w:r>
          </w:p>
          <w:p w14:paraId="7F6B8297" w14:textId="77777777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A7DEA31" w14:textId="77777777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Aportación técnica / ingenieril de la propuesta</w:t>
            </w:r>
          </w:p>
          <w:p w14:paraId="37A0EDBE" w14:textId="0992A28F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Esta propuesta representa un enfoque técnico integral para el fortalecimiento de la ciberseguridad en sistemas productivos, centrado en el desarrollo de políticas robustas y prácticas efectivas que reduzcan significativamente la vulnerabilidad ante ataques informáticos.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La aportación técnica se materializa a través de los siguientes elementos:</w:t>
            </w:r>
          </w:p>
          <w:p w14:paraId="33CD6FAF" w14:textId="77777777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B42685C" w14:textId="77777777" w:rsidR="00BB595B" w:rsidRPr="00BB595B" w:rsidRDefault="00BB595B" w:rsidP="00BB595B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Desarrollo de Modelos de Seguridad Personalizados: Se propondrán políticas ajustadas a las características específicas de cada entorno productivo, contemplando tanto la infraestructura tecnológica como el perfil de amenazas propias de cada sector.</w:t>
            </w:r>
          </w:p>
          <w:p w14:paraId="40CFF942" w14:textId="77777777" w:rsidR="00BB595B" w:rsidRPr="00BB595B" w:rsidRDefault="00BB595B" w:rsidP="00BB595B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Integración de Normas Internacionales: Se elaborarán guías prácticas que incorporen estándares internacionales como ISO/IEC 27001, NIST CSF y normativas de protección de datos (ej., RGPD), garantizando el cumplimiento legal y la adopción de mejores prácticas.</w:t>
            </w:r>
          </w:p>
          <w:p w14:paraId="075750B5" w14:textId="77777777" w:rsidR="00BB595B" w:rsidRPr="00BB595B" w:rsidRDefault="00BB595B" w:rsidP="00BB595B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Metodologías de Evaluación de Vulnerabilidades: Se desarrollarán procedimientos para identificar y analizar vulnerabilidades específicas en sistemas productivos, utilizando técnicas de auditoría de seguridad y herramientas automatizadas de análisis de riesgos.</w:t>
            </w:r>
          </w:p>
          <w:p w14:paraId="48FEFCD1" w14:textId="77777777" w:rsidR="00BB595B" w:rsidRPr="00BB595B" w:rsidRDefault="00BB595B" w:rsidP="00BB595B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Estrategias de Gestión de Riesgos: Se implementarán métodos para la clasificación y priorización de riesgos, promoviendo una toma de decisiones fundamentada en datos que permita maximizar la resiliencia organizativa.</w:t>
            </w:r>
          </w:p>
          <w:p w14:paraId="1BE636BE" w14:textId="77777777" w:rsidR="00BB595B" w:rsidRPr="00BB595B" w:rsidRDefault="00BB595B" w:rsidP="00BB595B">
            <w:pPr>
              <w:pStyle w:val="Prrafodelista"/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Programas de Capacitación en Ciberseguridad: Se diseñarán estrategias educativas para mejorar la conciencia de seguridad entre el personal, lo que permitirá reducir el factor humano como vector de ataque.</w:t>
            </w:r>
          </w:p>
          <w:p w14:paraId="69CECB19" w14:textId="77777777" w:rsidR="00BB595B" w:rsidRPr="00BB595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793A7FA" w14:textId="3D526123" w:rsidR="00BB595B" w:rsidRPr="0089558B" w:rsidRDefault="00BB595B" w:rsidP="00BB595B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BB595B">
              <w:rPr>
                <w:rFonts w:ascii="Calibri" w:hAnsi="Calibri"/>
                <w:sz w:val="22"/>
                <w:szCs w:val="22"/>
                <w:lang w:val="es-ES_tradnl"/>
              </w:rPr>
              <w:t>Al abordar estos aspectos técnicos de manera integral, esta propuesta contribuirá al establecimiento de un entorno seguro y resiliente frente a ciberamenazas, promoviendo la continuidad operativa y la protección de los activos críticos en sistemas productivos.</w:t>
            </w:r>
          </w:p>
          <w:p w14:paraId="534DBFBD" w14:textId="035F1A7A" w:rsidR="00AC7919" w:rsidRPr="00240906" w:rsidRDefault="00AC7919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4CFE98F" w14:textId="78578108" w:rsidR="00AC7919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Dr.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 Mauricio Martinez Monterrubio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sergiomauricio.martinez@unir.net</w:t>
            </w: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71796B0" w14:textId="129F1060" w:rsidR="00920C8C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https://investigacion.unir.net/investigadores/818157/</w:t>
            </w: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6C795377" w14:textId="77777777" w:rsidR="00665011" w:rsidRPr="00240906" w:rsidRDefault="00665011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</w:t>
      </w:r>
      <w:proofErr w:type="gramStart"/>
      <w:r w:rsidRPr="109932D6">
        <w:rPr>
          <w:rFonts w:ascii="Calibri" w:hAnsi="Calibri"/>
          <w:sz w:val="22"/>
          <w:szCs w:val="22"/>
        </w:rPr>
        <w:t>Las</w:t>
      </w:r>
      <w:proofErr w:type="gramEnd"/>
      <w:r w:rsidRPr="109932D6">
        <w:rPr>
          <w:rFonts w:ascii="Calibri" w:hAnsi="Calibri"/>
          <w:sz w:val="22"/>
          <w:szCs w:val="22"/>
        </w:rPr>
        <w:t xml:space="preserve">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1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EAEC" w14:textId="77777777" w:rsidR="0040523D" w:rsidRDefault="0040523D">
      <w:r>
        <w:separator/>
      </w:r>
    </w:p>
  </w:endnote>
  <w:endnote w:type="continuationSeparator" w:id="0">
    <w:p w14:paraId="1D7BBB99" w14:textId="77777777" w:rsidR="0040523D" w:rsidRDefault="0040523D">
      <w:r>
        <w:continuationSeparator/>
      </w:r>
    </w:p>
  </w:endnote>
  <w:endnote w:type="continuationNotice" w:id="1">
    <w:p w14:paraId="49B5EC19" w14:textId="77777777" w:rsidR="0040523D" w:rsidRDefault="004052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CCB48" w14:textId="77777777" w:rsidR="0040523D" w:rsidRDefault="0040523D">
      <w:r>
        <w:separator/>
      </w:r>
    </w:p>
  </w:footnote>
  <w:footnote w:type="continuationSeparator" w:id="0">
    <w:p w14:paraId="13EF6C58" w14:textId="77777777" w:rsidR="0040523D" w:rsidRDefault="0040523D">
      <w:r>
        <w:continuationSeparator/>
      </w:r>
    </w:p>
  </w:footnote>
  <w:footnote w:type="continuationNotice" w:id="1">
    <w:p w14:paraId="485CA7AF" w14:textId="77777777" w:rsidR="0040523D" w:rsidRDefault="004052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0881"/>
    <w:multiLevelType w:val="hybridMultilevel"/>
    <w:tmpl w:val="D10669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05C70"/>
    <w:multiLevelType w:val="hybridMultilevel"/>
    <w:tmpl w:val="DF684A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7689">
    <w:abstractNumId w:val="4"/>
  </w:num>
  <w:num w:numId="2" w16cid:durableId="847603002">
    <w:abstractNumId w:val="6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  <w:num w:numId="8" w16cid:durableId="483813792">
    <w:abstractNumId w:val="7"/>
  </w:num>
  <w:num w:numId="9" w16cid:durableId="929775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63"/>
    <w:rsid w:val="0000015E"/>
    <w:rsid w:val="00007B24"/>
    <w:rsid w:val="00027600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36FF6"/>
    <w:rsid w:val="00240906"/>
    <w:rsid w:val="00247CB8"/>
    <w:rsid w:val="00251C2D"/>
    <w:rsid w:val="002537C7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23D"/>
    <w:rsid w:val="004059E8"/>
    <w:rsid w:val="0040720C"/>
    <w:rsid w:val="00407587"/>
    <w:rsid w:val="00444203"/>
    <w:rsid w:val="00451FCA"/>
    <w:rsid w:val="00452E76"/>
    <w:rsid w:val="00486CBA"/>
    <w:rsid w:val="004A6F88"/>
    <w:rsid w:val="004B1549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716E"/>
    <w:rsid w:val="00674FBB"/>
    <w:rsid w:val="0069132C"/>
    <w:rsid w:val="00692B67"/>
    <w:rsid w:val="00696370"/>
    <w:rsid w:val="006A09B0"/>
    <w:rsid w:val="006A7ABA"/>
    <w:rsid w:val="006B0D68"/>
    <w:rsid w:val="006C7EED"/>
    <w:rsid w:val="006D2B6C"/>
    <w:rsid w:val="006F3DF5"/>
    <w:rsid w:val="006F4DE6"/>
    <w:rsid w:val="006F4FF1"/>
    <w:rsid w:val="007105D6"/>
    <w:rsid w:val="00714EA5"/>
    <w:rsid w:val="007312D3"/>
    <w:rsid w:val="0075028F"/>
    <w:rsid w:val="007614CC"/>
    <w:rsid w:val="0076174B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58B"/>
    <w:rsid w:val="00895F1B"/>
    <w:rsid w:val="008D1F5A"/>
    <w:rsid w:val="008D1FBD"/>
    <w:rsid w:val="008E76A8"/>
    <w:rsid w:val="008F77EA"/>
    <w:rsid w:val="00920B3F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A78DA"/>
    <w:rsid w:val="009B3EC5"/>
    <w:rsid w:val="009B4011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13112"/>
    <w:rsid w:val="00B36B70"/>
    <w:rsid w:val="00B43A1F"/>
    <w:rsid w:val="00B52181"/>
    <w:rsid w:val="00B8217A"/>
    <w:rsid w:val="00B93F2E"/>
    <w:rsid w:val="00BA538C"/>
    <w:rsid w:val="00BB39BE"/>
    <w:rsid w:val="00BB595B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3D88"/>
    <w:rsid w:val="00E87034"/>
    <w:rsid w:val="00E978D6"/>
    <w:rsid w:val="00ED3EE9"/>
    <w:rsid w:val="00EE150C"/>
    <w:rsid w:val="00EF01B9"/>
    <w:rsid w:val="00EF108E"/>
    <w:rsid w:val="00EF3029"/>
    <w:rsid w:val="00EF4EF3"/>
    <w:rsid w:val="00F03372"/>
    <w:rsid w:val="00F072E0"/>
    <w:rsid w:val="00F12CD3"/>
    <w:rsid w:val="00F20321"/>
    <w:rsid w:val="00F23F0E"/>
    <w:rsid w:val="00F26719"/>
    <w:rsid w:val="00F30D0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00FF3146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2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C28E8A-8657-4B16-B94B-7B2646FD70FF}"/>
</file>

<file path=customXml/itemProps4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5803</Characters>
  <Application>Microsoft Office Word</Application>
  <DocSecurity>4</DocSecurity>
  <Lines>48</Lines>
  <Paragraphs>13</Paragraphs>
  <ScaleCrop>false</ScaleCrop>
  <Company>r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NATALIA PADILLA ZEA</cp:lastModifiedBy>
  <cp:revision>2</cp:revision>
  <cp:lastPrinted>2020-01-25T09:41:00Z</cp:lastPrinted>
  <dcterms:created xsi:type="dcterms:W3CDTF">2025-04-22T10:47:00Z</dcterms:created>
  <dcterms:modified xsi:type="dcterms:W3CDTF">2025-04-22T10:47:00Z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